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2A54E0" w:rsidP="00E401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3626F9"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EA34C1">
        <w:rPr>
          <w:sz w:val="24"/>
          <w:szCs w:val="24"/>
        </w:rPr>
        <w:t>2</w:t>
      </w:r>
      <w:r w:rsidR="000A6C3A">
        <w:rPr>
          <w:sz w:val="24"/>
          <w:szCs w:val="24"/>
        </w:rPr>
        <w:t>7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0A6C3A">
        <w:rPr>
          <w:sz w:val="24"/>
          <w:szCs w:val="24"/>
        </w:rPr>
        <w:t>2</w:t>
      </w:r>
      <w:r w:rsidR="006E148F">
        <w:rPr>
          <w:sz w:val="24"/>
          <w:szCs w:val="24"/>
        </w:rPr>
        <w:t>1</w:t>
      </w:r>
      <w:r w:rsidR="009A77E9">
        <w:rPr>
          <w:sz w:val="24"/>
          <w:szCs w:val="24"/>
        </w:rPr>
        <w:t xml:space="preserve"> de </w:t>
      </w:r>
      <w:r w:rsidR="00157E7E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0A6C3A" w:rsidP="00663345">
      <w:pPr>
        <w:ind w:left="360"/>
        <w:jc w:val="center"/>
        <w:rPr>
          <w:b/>
          <w:u w:val="single"/>
        </w:rPr>
      </w:pPr>
      <w:r>
        <w:rPr>
          <w:b/>
        </w:rPr>
        <w:t>Final Copa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20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2268"/>
        <w:gridCol w:w="851"/>
        <w:gridCol w:w="2126"/>
        <w:gridCol w:w="850"/>
      </w:tblGrid>
      <w:tr w:rsidR="000A6C3A" w:rsidRPr="00CC55C6" w:rsidTr="000A6C3A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6C3A" w:rsidRPr="00CC55C6" w:rsidRDefault="000A6C3A" w:rsidP="00764ABD">
            <w:pPr>
              <w:jc w:val="center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6C3A" w:rsidRPr="00CC55C6" w:rsidRDefault="000A6C3A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6C3A" w:rsidRPr="00CC55C6" w:rsidRDefault="000A6C3A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6C3A" w:rsidRPr="00CC55C6" w:rsidRDefault="000A6C3A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6C3A" w:rsidRPr="00CC55C6" w:rsidRDefault="000A6C3A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0A6C3A" w:rsidRPr="00CC55C6" w:rsidTr="000A6C3A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A" w:rsidRDefault="000A6C3A" w:rsidP="00603444">
            <w:pPr>
              <w:pStyle w:val="NormalWeb"/>
              <w:jc w:val="both"/>
              <w:textAlignment w:val="top"/>
            </w:pPr>
            <w:r>
              <w:t>3º - 4º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A" w:rsidRPr="0047077E" w:rsidRDefault="000A6C3A" w:rsidP="00603444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A" w:rsidRPr="00CC55C6" w:rsidRDefault="00A8214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A" w:rsidRPr="000A6C3A" w:rsidRDefault="000A6C3A" w:rsidP="00603444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0A6C3A">
              <w:rPr>
                <w:b/>
              </w:rPr>
              <w:t>Atlantic</w:t>
            </w:r>
            <w:proofErr w:type="spellEnd"/>
            <w:r w:rsidRPr="000A6C3A">
              <w:rPr>
                <w:b/>
              </w:rP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A" w:rsidRPr="00CC55C6" w:rsidRDefault="00A8214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A6C3A" w:rsidRPr="00CC55C6" w:rsidTr="000A6C3A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A" w:rsidRDefault="000A6C3A" w:rsidP="00603444">
            <w:pPr>
              <w:pStyle w:val="NormalWeb"/>
              <w:jc w:val="both"/>
              <w:textAlignment w:val="top"/>
            </w:pPr>
            <w:r>
              <w:t>1º - 2º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A" w:rsidRPr="000A6C3A" w:rsidRDefault="000A6C3A" w:rsidP="00603444">
            <w:pPr>
              <w:pStyle w:val="NormalWeb"/>
              <w:jc w:val="both"/>
              <w:textAlignment w:val="top"/>
              <w:rPr>
                <w:b/>
              </w:rPr>
            </w:pPr>
            <w:r w:rsidRPr="000A6C3A">
              <w:rPr>
                <w:b/>
              </w:rP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A" w:rsidRPr="00CC55C6" w:rsidRDefault="000A6C3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A" w:rsidRPr="0047077E" w:rsidRDefault="000A6C3A" w:rsidP="00603444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A" w:rsidRPr="00CC55C6" w:rsidRDefault="000A6C3A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0A6C3A" w:rsidRPr="000A6C3A" w:rsidRDefault="000A6C3A" w:rsidP="00764ABD">
      <w:pPr>
        <w:rPr>
          <w:b/>
          <w:u w:val="single"/>
        </w:rPr>
      </w:pPr>
      <w:r>
        <w:t xml:space="preserve">      </w:t>
      </w:r>
      <w:r>
        <w:rPr>
          <w:b/>
        </w:rPr>
        <w:t xml:space="preserve">2.- </w:t>
      </w:r>
      <w:r>
        <w:rPr>
          <w:b/>
          <w:u w:val="single"/>
        </w:rPr>
        <w:t>Cuadro de honor de la temporada</w:t>
      </w:r>
    </w:p>
    <w:p w:rsidR="002930FF" w:rsidRDefault="002930FF" w:rsidP="00764ABD"/>
    <w:p w:rsidR="007759A2" w:rsidRDefault="000A6C3A" w:rsidP="000A6C3A">
      <w:r>
        <w:t xml:space="preserve">           </w:t>
      </w:r>
    </w:p>
    <w:tbl>
      <w:tblPr>
        <w:tblStyle w:val="Tablaconcuadrcula"/>
        <w:tblW w:w="0" w:type="auto"/>
        <w:tblInd w:w="817" w:type="dxa"/>
        <w:tblLook w:val="04A0"/>
      </w:tblPr>
      <w:tblGrid>
        <w:gridCol w:w="2064"/>
        <w:gridCol w:w="2881"/>
        <w:gridCol w:w="2882"/>
      </w:tblGrid>
      <w:tr w:rsidR="007759A2" w:rsidTr="007759A2">
        <w:tc>
          <w:tcPr>
            <w:tcW w:w="2064" w:type="dxa"/>
            <w:shd w:val="clear" w:color="auto" w:fill="D9D9D9" w:themeFill="background1" w:themeFillShade="D9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Torneo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Puesto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Equipo</w:t>
            </w:r>
          </w:p>
        </w:tc>
      </w:tr>
      <w:tr w:rsidR="007759A2" w:rsidTr="007759A2">
        <w:tc>
          <w:tcPr>
            <w:tcW w:w="2064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Apertura</w:t>
            </w:r>
          </w:p>
        </w:tc>
        <w:tc>
          <w:tcPr>
            <w:tcW w:w="2881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Campeón</w:t>
            </w:r>
          </w:p>
        </w:tc>
        <w:tc>
          <w:tcPr>
            <w:tcW w:w="2882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Zabala</w:t>
            </w:r>
          </w:p>
        </w:tc>
      </w:tr>
      <w:tr w:rsidR="007759A2" w:rsidTr="007759A2">
        <w:tc>
          <w:tcPr>
            <w:tcW w:w="2064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Clausura</w:t>
            </w:r>
          </w:p>
        </w:tc>
        <w:tc>
          <w:tcPr>
            <w:tcW w:w="2881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Campeón</w:t>
            </w:r>
          </w:p>
        </w:tc>
        <w:tc>
          <w:tcPr>
            <w:tcW w:w="2882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8 40</w:t>
            </w:r>
          </w:p>
        </w:tc>
      </w:tr>
      <w:tr w:rsidR="007759A2" w:rsidTr="007759A2">
        <w:tc>
          <w:tcPr>
            <w:tcW w:w="2064" w:type="dxa"/>
            <w:vMerge w:val="restart"/>
          </w:tcPr>
          <w:p w:rsidR="007759A2" w:rsidRPr="007759A2" w:rsidRDefault="007759A2" w:rsidP="000A6C3A">
            <w:pPr>
              <w:rPr>
                <w:b/>
              </w:rPr>
            </w:pPr>
          </w:p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Copa</w:t>
            </w:r>
          </w:p>
        </w:tc>
        <w:tc>
          <w:tcPr>
            <w:tcW w:w="2881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Campeón</w:t>
            </w:r>
          </w:p>
        </w:tc>
        <w:tc>
          <w:tcPr>
            <w:tcW w:w="2882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La Perla del Oeste</w:t>
            </w:r>
          </w:p>
        </w:tc>
      </w:tr>
      <w:tr w:rsidR="007759A2" w:rsidTr="007759A2">
        <w:tc>
          <w:tcPr>
            <w:tcW w:w="2064" w:type="dxa"/>
            <w:vMerge/>
          </w:tcPr>
          <w:p w:rsidR="007759A2" w:rsidRPr="007759A2" w:rsidRDefault="007759A2" w:rsidP="000A6C3A">
            <w:pPr>
              <w:rPr>
                <w:b/>
              </w:rPr>
            </w:pPr>
          </w:p>
        </w:tc>
        <w:tc>
          <w:tcPr>
            <w:tcW w:w="2881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Subcampeón</w:t>
            </w:r>
          </w:p>
        </w:tc>
        <w:tc>
          <w:tcPr>
            <w:tcW w:w="2882" w:type="dxa"/>
          </w:tcPr>
          <w:p w:rsidR="007759A2" w:rsidRPr="007759A2" w:rsidRDefault="007759A2" w:rsidP="000A6C3A">
            <w:pPr>
              <w:rPr>
                <w:b/>
              </w:rPr>
            </w:pPr>
            <w:proofErr w:type="spellStart"/>
            <w:r w:rsidRPr="007759A2">
              <w:rPr>
                <w:b/>
              </w:rPr>
              <w:t>Yepronor</w:t>
            </w:r>
            <w:proofErr w:type="spellEnd"/>
          </w:p>
        </w:tc>
      </w:tr>
      <w:tr w:rsidR="007759A2" w:rsidTr="007759A2">
        <w:tc>
          <w:tcPr>
            <w:tcW w:w="2064" w:type="dxa"/>
            <w:vMerge/>
          </w:tcPr>
          <w:p w:rsidR="007759A2" w:rsidRPr="007759A2" w:rsidRDefault="007759A2" w:rsidP="000A6C3A">
            <w:pPr>
              <w:rPr>
                <w:b/>
              </w:rPr>
            </w:pPr>
          </w:p>
        </w:tc>
        <w:tc>
          <w:tcPr>
            <w:tcW w:w="2881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3º clasificado</w:t>
            </w:r>
          </w:p>
        </w:tc>
        <w:tc>
          <w:tcPr>
            <w:tcW w:w="2882" w:type="dxa"/>
          </w:tcPr>
          <w:p w:rsidR="007759A2" w:rsidRPr="007759A2" w:rsidRDefault="007759A2" w:rsidP="000A6C3A">
            <w:pPr>
              <w:rPr>
                <w:b/>
              </w:rPr>
            </w:pPr>
            <w:proofErr w:type="spellStart"/>
            <w:r w:rsidRPr="007759A2">
              <w:rPr>
                <w:b/>
              </w:rPr>
              <w:t>Atlantic</w:t>
            </w:r>
            <w:proofErr w:type="spellEnd"/>
            <w:r w:rsidRPr="007759A2">
              <w:rPr>
                <w:b/>
              </w:rPr>
              <w:t xml:space="preserve"> Isles</w:t>
            </w:r>
          </w:p>
        </w:tc>
      </w:tr>
      <w:tr w:rsidR="007759A2" w:rsidTr="007759A2">
        <w:tc>
          <w:tcPr>
            <w:tcW w:w="2064" w:type="dxa"/>
            <w:vMerge/>
          </w:tcPr>
          <w:p w:rsidR="007759A2" w:rsidRPr="007759A2" w:rsidRDefault="007759A2" w:rsidP="000A6C3A">
            <w:pPr>
              <w:rPr>
                <w:b/>
              </w:rPr>
            </w:pPr>
          </w:p>
        </w:tc>
        <w:tc>
          <w:tcPr>
            <w:tcW w:w="2881" w:type="dxa"/>
          </w:tcPr>
          <w:p w:rsidR="007759A2" w:rsidRPr="007759A2" w:rsidRDefault="007759A2" w:rsidP="000A6C3A">
            <w:pPr>
              <w:rPr>
                <w:b/>
              </w:rPr>
            </w:pPr>
            <w:r w:rsidRPr="007759A2">
              <w:rPr>
                <w:b/>
              </w:rPr>
              <w:t>4º clasificado</w:t>
            </w:r>
          </w:p>
        </w:tc>
        <w:tc>
          <w:tcPr>
            <w:tcW w:w="2882" w:type="dxa"/>
          </w:tcPr>
          <w:p w:rsidR="007759A2" w:rsidRPr="007759A2" w:rsidRDefault="007759A2" w:rsidP="000A6C3A">
            <w:pPr>
              <w:rPr>
                <w:b/>
              </w:rPr>
            </w:pPr>
            <w:proofErr w:type="spellStart"/>
            <w:r w:rsidRPr="007759A2">
              <w:rPr>
                <w:b/>
              </w:rPr>
              <w:t>Tartanga</w:t>
            </w:r>
            <w:proofErr w:type="spellEnd"/>
          </w:p>
        </w:tc>
      </w:tr>
    </w:tbl>
    <w:p w:rsidR="000A6C3A" w:rsidRDefault="000A6C3A" w:rsidP="000A6C3A">
      <w:r>
        <w:t xml:space="preserve"> </w:t>
      </w:r>
    </w:p>
    <w:p w:rsidR="007759A2" w:rsidRDefault="007759A2" w:rsidP="000A6C3A"/>
    <w:p w:rsidR="00764ABD" w:rsidRDefault="007759A2" w:rsidP="00F76283">
      <w:pPr>
        <w:ind w:left="360"/>
        <w:rPr>
          <w:u w:val="single"/>
        </w:rPr>
      </w:pPr>
      <w:r>
        <w:rPr>
          <w:b/>
        </w:rPr>
        <w:t>3</w:t>
      </w:r>
      <w:r w:rsidR="00764ABD" w:rsidRPr="00764ABD">
        <w:rPr>
          <w:b/>
        </w:rPr>
        <w:t>.-</w:t>
      </w:r>
      <w:r w:rsidR="00764ABD"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212214520"/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</w:tr>
      <w:tr w:rsidR="00B46A24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9D2842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7759A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7759A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7759A2" w:rsidP="007759A2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7759A2" w:rsidP="00992FA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A821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A821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3911D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46A24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46A24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A82141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A821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C7427A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C7427A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C7427A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C7427A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C7427A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C7427A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C7427A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C7427A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91765F" w:rsidP="0076685E">
      <w:pPr>
        <w:ind w:left="360"/>
        <w:rPr>
          <w:u w:val="single"/>
        </w:rPr>
      </w:pPr>
      <w:r>
        <w:rPr>
          <w:b/>
        </w:rPr>
        <w:lastRenderedPageBreak/>
        <w:t>4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 w:rsidR="00157E7E">
        <w:rPr>
          <w:b/>
          <w:u w:val="single"/>
        </w:rPr>
        <w:t>1</w:t>
      </w:r>
      <w:r w:rsidR="007759A2">
        <w:rPr>
          <w:b/>
          <w:u w:val="single"/>
        </w:rPr>
        <w:t xml:space="preserve"> octubre </w:t>
      </w:r>
      <w:proofErr w:type="gramStart"/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  <w:proofErr w:type="gramEnd"/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</w:t>
      </w:r>
      <w:r w:rsidR="007759A2">
        <w:rPr>
          <w:b/>
        </w:rPr>
        <w:t>Torneo Apertura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68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870"/>
        <w:gridCol w:w="2102"/>
        <w:gridCol w:w="2285"/>
      </w:tblGrid>
      <w:tr w:rsidR="007759A2" w:rsidRPr="0047077E" w:rsidTr="007759A2">
        <w:trPr>
          <w:trHeight w:val="187"/>
        </w:trPr>
        <w:tc>
          <w:tcPr>
            <w:tcW w:w="1429" w:type="dxa"/>
          </w:tcPr>
          <w:p w:rsidR="007759A2" w:rsidRPr="0047077E" w:rsidRDefault="007759A2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70" w:type="dxa"/>
          </w:tcPr>
          <w:p w:rsidR="007759A2" w:rsidRPr="0047077E" w:rsidRDefault="007759A2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387" w:type="dxa"/>
            <w:gridSpan w:val="2"/>
          </w:tcPr>
          <w:p w:rsidR="007759A2" w:rsidRPr="0047077E" w:rsidRDefault="007759A2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7759A2" w:rsidRPr="0047077E" w:rsidTr="007759A2">
        <w:trPr>
          <w:trHeight w:val="187"/>
        </w:trPr>
        <w:tc>
          <w:tcPr>
            <w:tcW w:w="1429" w:type="dxa"/>
          </w:tcPr>
          <w:p w:rsidR="007759A2" w:rsidRPr="0047077E" w:rsidRDefault="007759A2" w:rsidP="006E148F">
            <w:pPr>
              <w:pStyle w:val="NormalWeb"/>
              <w:jc w:val="both"/>
              <w:textAlignment w:val="top"/>
            </w:pPr>
          </w:p>
        </w:tc>
        <w:tc>
          <w:tcPr>
            <w:tcW w:w="870" w:type="dxa"/>
          </w:tcPr>
          <w:p w:rsidR="007759A2" w:rsidRPr="0047077E" w:rsidRDefault="007759A2" w:rsidP="00FE215E">
            <w:pPr>
              <w:pStyle w:val="NormalWeb"/>
              <w:jc w:val="center"/>
              <w:textAlignment w:val="top"/>
            </w:pPr>
          </w:p>
        </w:tc>
        <w:tc>
          <w:tcPr>
            <w:tcW w:w="2102" w:type="dxa"/>
          </w:tcPr>
          <w:p w:rsidR="007759A2" w:rsidRPr="0047077E" w:rsidRDefault="007759A2" w:rsidP="00EF76E5">
            <w:pPr>
              <w:pStyle w:val="NormalWeb"/>
              <w:jc w:val="center"/>
              <w:textAlignment w:val="top"/>
            </w:pPr>
          </w:p>
        </w:tc>
        <w:tc>
          <w:tcPr>
            <w:tcW w:w="2285" w:type="dxa"/>
          </w:tcPr>
          <w:p w:rsidR="007759A2" w:rsidRPr="0047077E" w:rsidRDefault="007759A2" w:rsidP="00EF76E5">
            <w:pPr>
              <w:pStyle w:val="NormalWeb"/>
              <w:jc w:val="center"/>
              <w:textAlignment w:val="top"/>
            </w:pPr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6E148F" w:rsidRDefault="006E148F" w:rsidP="005C5A59">
      <w:pPr>
        <w:ind w:left="360"/>
      </w:pPr>
    </w:p>
    <w:p w:rsidR="00B41183" w:rsidRDefault="005C5A59" w:rsidP="00E15CC0">
      <w:pPr>
        <w:ind w:left="360"/>
      </w:pPr>
      <w:r>
        <w:tab/>
      </w:r>
      <w:r w:rsidR="00B41183"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 w:rsidRPr="0091765F">
        <w:rPr>
          <w:b/>
        </w:rPr>
        <w:t xml:space="preserve"> </w:t>
      </w:r>
      <w:r w:rsidR="0091765F" w:rsidRPr="0091765F">
        <w:rPr>
          <w:b/>
        </w:rPr>
        <w:t>5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4A7BE1" w:rsidRDefault="004A7BE1" w:rsidP="007759A2"/>
    <w:p w:rsidR="004A7BE1" w:rsidRPr="00455DE3" w:rsidRDefault="00E15CC0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7759A2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7759A2">
        <w:t>6</w:t>
      </w:r>
    </w:p>
    <w:p w:rsidR="007759A2" w:rsidRDefault="007759A2" w:rsidP="004A7BE1">
      <w:pPr>
        <w:numPr>
          <w:ilvl w:val="3"/>
          <w:numId w:val="11"/>
        </w:numPr>
      </w:pPr>
      <w:r>
        <w:t>amarilla al nº 14</w:t>
      </w:r>
    </w:p>
    <w:p w:rsidR="00E161CD" w:rsidRDefault="007759A2" w:rsidP="004A7BE1">
      <w:pPr>
        <w:numPr>
          <w:ilvl w:val="3"/>
          <w:numId w:val="11"/>
        </w:numPr>
      </w:pPr>
      <w:r>
        <w:t>amarilla al nº 23</w:t>
      </w:r>
      <w:r w:rsidR="008D4FFB">
        <w:t>.</w:t>
      </w:r>
    </w:p>
    <w:p w:rsidR="00E161CD" w:rsidRDefault="00E161CD" w:rsidP="00E161CD">
      <w:pPr>
        <w:ind w:left="2880"/>
      </w:pPr>
    </w:p>
    <w:p w:rsidR="00ED7F13" w:rsidRPr="00B46A24" w:rsidRDefault="007759A2" w:rsidP="00ED7F1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ED7F13" w:rsidRDefault="00ED7F13" w:rsidP="00ED7F13">
      <w:pPr>
        <w:numPr>
          <w:ilvl w:val="3"/>
          <w:numId w:val="11"/>
        </w:numPr>
      </w:pPr>
      <w:r>
        <w:t xml:space="preserve">amarilla al nº </w:t>
      </w:r>
      <w:r w:rsidR="007759A2">
        <w:t>7</w:t>
      </w:r>
    </w:p>
    <w:p w:rsidR="00ED7F13" w:rsidRDefault="00ED7F13" w:rsidP="00ED7F13">
      <w:pPr>
        <w:numPr>
          <w:ilvl w:val="3"/>
          <w:numId w:val="11"/>
        </w:numPr>
      </w:pPr>
      <w:r>
        <w:t>amarilla al nº 1</w:t>
      </w:r>
      <w:r w:rsidR="007759A2">
        <w:t>2</w:t>
      </w:r>
    </w:p>
    <w:p w:rsidR="00ED7F13" w:rsidRDefault="00ED7F13" w:rsidP="00ED7F13">
      <w:pPr>
        <w:numPr>
          <w:ilvl w:val="3"/>
          <w:numId w:val="11"/>
        </w:numPr>
      </w:pPr>
      <w:r>
        <w:t xml:space="preserve">amarilla al nº </w:t>
      </w:r>
      <w:r w:rsidR="007759A2">
        <w:t>16</w:t>
      </w:r>
      <w:r>
        <w:t>.</w:t>
      </w:r>
    </w:p>
    <w:p w:rsidR="00ED7F13" w:rsidRDefault="00ED7F13" w:rsidP="00ED7F13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91765F">
        <w:rPr>
          <w:b/>
        </w:rPr>
        <w:t>6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765A6B" w:rsidRDefault="00765A6B" w:rsidP="00354D51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1C199A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A50755" w:rsidRDefault="00A50755" w:rsidP="00764ABD">
            <w:pPr>
              <w:ind w:left="1"/>
              <w:rPr>
                <w:sz w:val="20"/>
                <w:szCs w:val="20"/>
              </w:rPr>
            </w:pPr>
          </w:p>
          <w:p w:rsidR="00F24706" w:rsidRDefault="00260BF7" w:rsidP="00A1411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621D8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9420E" w:rsidRDefault="0079420E" w:rsidP="007621D8">
            <w:pPr>
              <w:rPr>
                <w:sz w:val="20"/>
                <w:szCs w:val="20"/>
              </w:rPr>
            </w:pP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3E3B81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A50755" w:rsidRDefault="00A50755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A50755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8A0232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4E39FD" w:rsidRDefault="007519BC" w:rsidP="00E15CC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ED7F13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Carlos </w:t>
            </w:r>
            <w:proofErr w:type="spellStart"/>
            <w:r>
              <w:rPr>
                <w:sz w:val="20"/>
                <w:szCs w:val="20"/>
              </w:rPr>
              <w:t>Pernía</w:t>
            </w:r>
            <w:proofErr w:type="spellEnd"/>
          </w:p>
          <w:p w:rsidR="00023508" w:rsidRDefault="00023508" w:rsidP="001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1E758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23508" w:rsidRPr="007519BC" w:rsidRDefault="001E7581" w:rsidP="001E75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023508" w:rsidRDefault="00F14F4B" w:rsidP="00F14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3508">
              <w:rPr>
                <w:sz w:val="20"/>
                <w:szCs w:val="20"/>
              </w:rPr>
              <w:t>-4-2023</w:t>
            </w:r>
          </w:p>
        </w:tc>
        <w:tc>
          <w:tcPr>
            <w:tcW w:w="1276" w:type="dxa"/>
          </w:tcPr>
          <w:p w:rsidR="00023508" w:rsidRDefault="00F14F4B" w:rsidP="000F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E5A">
              <w:rPr>
                <w:sz w:val="20"/>
                <w:szCs w:val="20"/>
              </w:rPr>
              <w:t>9</w:t>
            </w:r>
            <w:r w:rsidR="00023508">
              <w:rPr>
                <w:sz w:val="20"/>
                <w:szCs w:val="20"/>
              </w:rPr>
              <w:t>-</w:t>
            </w:r>
            <w:r w:rsidR="000F3E5A">
              <w:rPr>
                <w:sz w:val="20"/>
                <w:szCs w:val="20"/>
              </w:rPr>
              <w:t>10-</w:t>
            </w:r>
            <w:r w:rsidR="00023508">
              <w:rPr>
                <w:sz w:val="20"/>
                <w:szCs w:val="20"/>
              </w:rPr>
              <w:t>2023</w:t>
            </w:r>
          </w:p>
        </w:tc>
        <w:tc>
          <w:tcPr>
            <w:tcW w:w="4253" w:type="dxa"/>
          </w:tcPr>
          <w:p w:rsidR="00023508" w:rsidRDefault="00023508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1E75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partido</w:t>
            </w:r>
            <w:r w:rsidR="001E7581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 de suspensión </w:t>
            </w:r>
            <w:r w:rsidR="001E7581">
              <w:rPr>
                <w:sz w:val="20"/>
                <w:szCs w:val="20"/>
              </w:rPr>
              <w:t>y 48 euros de multa por dar una patada sin balón a un contrario y luego, desde la grada, insultar a un contrario pudiendo haber provocado una incidencia grave.</w:t>
            </w:r>
          </w:p>
          <w:p w:rsidR="00023508" w:rsidRDefault="00023508" w:rsidP="00F14F4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F14F4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-4-2023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0F3E5A" w:rsidP="00B9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Germán Martínez Ruiz</w:t>
            </w:r>
            <w:r w:rsidR="00B90BC1">
              <w:rPr>
                <w:sz w:val="20"/>
                <w:szCs w:val="20"/>
              </w:rPr>
              <w:t xml:space="preserve"> </w:t>
            </w:r>
            <w:r w:rsidR="00023508">
              <w:rPr>
                <w:sz w:val="20"/>
                <w:szCs w:val="20"/>
              </w:rPr>
              <w:t xml:space="preserve"> </w:t>
            </w:r>
          </w:p>
          <w:p w:rsidR="00023508" w:rsidRDefault="00023508" w:rsidP="000F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</w:t>
            </w:r>
            <w:r w:rsidR="000F3E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23508" w:rsidRPr="007519BC" w:rsidRDefault="000F3E5A" w:rsidP="00F14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23508" w:rsidRDefault="00F14F4B" w:rsidP="00F14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3508">
              <w:rPr>
                <w:sz w:val="20"/>
                <w:szCs w:val="20"/>
              </w:rPr>
              <w:t>-4-2023</w:t>
            </w:r>
          </w:p>
        </w:tc>
        <w:tc>
          <w:tcPr>
            <w:tcW w:w="1276" w:type="dxa"/>
          </w:tcPr>
          <w:p w:rsidR="00023508" w:rsidRDefault="00F14F4B" w:rsidP="000F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E5A">
              <w:rPr>
                <w:sz w:val="20"/>
                <w:szCs w:val="20"/>
              </w:rPr>
              <w:t>9</w:t>
            </w:r>
            <w:r w:rsidR="00023508">
              <w:rPr>
                <w:sz w:val="20"/>
                <w:szCs w:val="20"/>
              </w:rPr>
              <w:t>-</w:t>
            </w:r>
            <w:r w:rsidR="000F3E5A">
              <w:rPr>
                <w:sz w:val="20"/>
                <w:szCs w:val="20"/>
              </w:rPr>
              <w:t>10</w:t>
            </w:r>
            <w:r w:rsidR="00023508">
              <w:rPr>
                <w:sz w:val="20"/>
                <w:szCs w:val="20"/>
              </w:rPr>
              <w:t>-2023</w:t>
            </w:r>
          </w:p>
        </w:tc>
        <w:tc>
          <w:tcPr>
            <w:tcW w:w="4253" w:type="dxa"/>
          </w:tcPr>
          <w:p w:rsidR="000F3E5A" w:rsidRPr="002C611F" w:rsidRDefault="000F3E5A" w:rsidP="000F3E5A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8 partidos de suspensión y 36 euros de multa por agresión verbal al árbitro insultándole y recriminándole que se la tiene tomada desde la final del pasado año así como asegurándole que le recusaría y que pusiera en el Acta lo que quiera.</w:t>
            </w:r>
          </w:p>
          <w:p w:rsidR="000F3E5A" w:rsidRDefault="000F3E5A" w:rsidP="000F3E5A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considera también como agravante su condición de ser el responsable del equipo.</w:t>
            </w:r>
          </w:p>
          <w:p w:rsidR="00023508" w:rsidRPr="002C611F" w:rsidRDefault="00023508" w:rsidP="00F14F4B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 xml:space="preserve">Acta del </w:t>
            </w:r>
            <w:r w:rsidR="00F14F4B" w:rsidRPr="002C611F">
              <w:rPr>
                <w:sz w:val="20"/>
                <w:szCs w:val="20"/>
              </w:rPr>
              <w:t>16</w:t>
            </w:r>
            <w:r w:rsidRPr="002C611F">
              <w:rPr>
                <w:sz w:val="20"/>
                <w:szCs w:val="20"/>
              </w:rPr>
              <w:t>-4-2023</w:t>
            </w:r>
          </w:p>
        </w:tc>
      </w:tr>
      <w:tr w:rsidR="001B2F0B" w:rsidRPr="003500F1" w:rsidTr="002C611F">
        <w:trPr>
          <w:trHeight w:val="1498"/>
        </w:trPr>
        <w:tc>
          <w:tcPr>
            <w:tcW w:w="1531" w:type="dxa"/>
          </w:tcPr>
          <w:p w:rsidR="001B2F0B" w:rsidRDefault="001B2F0B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Ignacio Jonathan Herrera Sánchez</w:t>
            </w:r>
          </w:p>
          <w:p w:rsidR="001B2F0B" w:rsidRDefault="001B2F0B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5)</w:t>
            </w:r>
          </w:p>
        </w:tc>
        <w:tc>
          <w:tcPr>
            <w:tcW w:w="1134" w:type="dxa"/>
          </w:tcPr>
          <w:p w:rsidR="001B2F0B" w:rsidRDefault="001B2F0B" w:rsidP="001B2F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1B2F0B" w:rsidRDefault="001B2F0B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8D4FFB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15-10-2023</w:t>
            </w:r>
          </w:p>
        </w:tc>
        <w:tc>
          <w:tcPr>
            <w:tcW w:w="4253" w:type="dxa"/>
          </w:tcPr>
          <w:p w:rsidR="008D4FFB" w:rsidRPr="002C611F" w:rsidRDefault="008D4FFB" w:rsidP="008D4FFB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4 partidos de suspensión y 36 euros de multa</w:t>
            </w:r>
          </w:p>
          <w:p w:rsidR="00A50755" w:rsidRPr="002C611F" w:rsidRDefault="001B2F0B" w:rsidP="008D4FFB">
            <w:pPr>
              <w:rPr>
                <w:sz w:val="20"/>
                <w:szCs w:val="20"/>
              </w:rPr>
            </w:pPr>
            <w:proofErr w:type="gramStart"/>
            <w:r w:rsidRPr="002C611F">
              <w:rPr>
                <w:sz w:val="20"/>
                <w:szCs w:val="20"/>
              </w:rPr>
              <w:t>por</w:t>
            </w:r>
            <w:proofErr w:type="gramEnd"/>
            <w:r w:rsidRPr="002C611F">
              <w:rPr>
                <w:sz w:val="20"/>
                <w:szCs w:val="20"/>
              </w:rPr>
              <w:t xml:space="preserve"> repeler la agresión de un jugador contrario tras realizar una entrada por detrás a otro jugador castigada con tarjeta amarilla.</w:t>
            </w:r>
          </w:p>
          <w:p w:rsidR="00EC561D" w:rsidRPr="002C611F" w:rsidRDefault="00EC561D" w:rsidP="008D4FFB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1B2F0B" w:rsidRPr="003500F1" w:rsidTr="004839BA">
        <w:tc>
          <w:tcPr>
            <w:tcW w:w="1531" w:type="dxa"/>
          </w:tcPr>
          <w:p w:rsidR="00EC561D" w:rsidRDefault="00EC561D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1B2F0B" w:rsidRDefault="00EC561D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1B2F0B" w:rsidRDefault="00EC561D" w:rsidP="001B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1B2F0B" w:rsidRDefault="00EC561D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EC561D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C561D" w:rsidRPr="002C611F" w:rsidRDefault="00EC561D" w:rsidP="00EC561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B2F0B" w:rsidRPr="002C611F" w:rsidRDefault="00EC561D" w:rsidP="00EC561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1B2F0B" w:rsidRPr="003500F1" w:rsidTr="004839BA">
        <w:tc>
          <w:tcPr>
            <w:tcW w:w="1531" w:type="dxa"/>
          </w:tcPr>
          <w:p w:rsidR="001B2F0B" w:rsidRDefault="002C611F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Juan Carlos Murillo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Murillo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C611F" w:rsidRDefault="002C611F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1B2F0B" w:rsidRDefault="002C611F" w:rsidP="001B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2F0B" w:rsidRDefault="002C611F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2C611F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1-10-2023</w:t>
            </w:r>
          </w:p>
        </w:tc>
        <w:tc>
          <w:tcPr>
            <w:tcW w:w="4253" w:type="dxa"/>
          </w:tcPr>
          <w:p w:rsidR="002C611F" w:rsidRPr="002C611F" w:rsidRDefault="002C611F" w:rsidP="002C611F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2 partidos de suspensión y 24 euros de multa por dar un codazo a un contrario partiéndole la ceja en la disputa de un balón.</w:t>
            </w:r>
          </w:p>
          <w:p w:rsidR="001B2F0B" w:rsidRPr="002C611F" w:rsidRDefault="002C611F" w:rsidP="002C611F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79420E" w:rsidRPr="003500F1" w:rsidTr="004839BA">
        <w:tc>
          <w:tcPr>
            <w:tcW w:w="1531" w:type="dxa"/>
          </w:tcPr>
          <w:p w:rsidR="0079420E" w:rsidRDefault="0079420E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79420E" w:rsidRDefault="0079420E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79420E" w:rsidRDefault="0079420E" w:rsidP="001B2F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79420E" w:rsidRDefault="0079420E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79420E" w:rsidRDefault="0079420E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79420E" w:rsidRDefault="0079420E" w:rsidP="0079420E">
            <w: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79420E" w:rsidRPr="002C611F" w:rsidRDefault="0079420E" w:rsidP="0079420E">
            <w:pPr>
              <w:rPr>
                <w:sz w:val="20"/>
                <w:szCs w:val="20"/>
              </w:rPr>
            </w:pPr>
            <w:r>
              <w:t>Acta del 7-5-2023</w:t>
            </w:r>
          </w:p>
        </w:tc>
      </w:tr>
    </w:tbl>
    <w:p w:rsidR="00653A00" w:rsidRDefault="00653A00" w:rsidP="00570284">
      <w:pPr>
        <w:ind w:left="284"/>
        <w:rPr>
          <w:b/>
        </w:rPr>
      </w:pPr>
    </w:p>
    <w:p w:rsidR="00570284" w:rsidRDefault="00570284" w:rsidP="00C82B4B">
      <w:pPr>
        <w:rPr>
          <w:b/>
        </w:rPr>
      </w:pPr>
    </w:p>
    <w:p w:rsidR="008F73E1" w:rsidRDefault="0091765F" w:rsidP="00C82B4B">
      <w:pPr>
        <w:rPr>
          <w:b/>
        </w:rPr>
      </w:pPr>
      <w:r>
        <w:rPr>
          <w:b/>
        </w:rPr>
        <w:t>7</w:t>
      </w:r>
      <w:r w:rsidR="008F73E1">
        <w:rPr>
          <w:b/>
        </w:rPr>
        <w:t xml:space="preserve">.- </w:t>
      </w:r>
      <w:r w:rsidR="008F73E1"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 w:rsidR="008F73E1"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lastRenderedPageBreak/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</w:t>
      </w:r>
      <w:r w:rsidR="0091765F">
        <w:rPr>
          <w:b/>
        </w:rPr>
        <w:t>8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B90BC1" w:rsidRDefault="00CE16BF" w:rsidP="00827D77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91765F" w:rsidP="00BC3D3A">
      <w:pPr>
        <w:ind w:left="284" w:hanging="284"/>
        <w:rPr>
          <w:b/>
        </w:rPr>
      </w:pPr>
      <w:r>
        <w:rPr>
          <w:b/>
        </w:rPr>
        <w:t>9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E13E6B" w:rsidRDefault="00E13E6B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E13E6B" w:rsidRDefault="00E13E6B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E13E6B" w:rsidRDefault="00E13E6B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A40F57" w:rsidRDefault="00A40F57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A40F57" w:rsidRDefault="00A40F57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E13E6B" w:rsidRDefault="00E13E6B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AB6679" w:rsidRDefault="0091765F" w:rsidP="00A657AD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lastRenderedPageBreak/>
        <w:t>10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B90BC1" w:rsidRDefault="00B90BC1" w:rsidP="00B90BC1"/>
    <w:p w:rsidR="00AB6679" w:rsidRDefault="00C75360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="00AE2EBD">
        <w:rPr>
          <w:color w:val="000000"/>
          <w:shd w:val="clear" w:color="auto" w:fill="FFFFFF"/>
        </w:rPr>
        <w:t xml:space="preserve">as cantidades pendientes </w:t>
      </w:r>
      <w:r w:rsidR="00522BCB">
        <w:rPr>
          <w:color w:val="000000"/>
          <w:shd w:val="clear" w:color="auto" w:fill="FFFFFF"/>
        </w:rPr>
        <w:t>de pago</w:t>
      </w:r>
      <w:r w:rsidR="00AE2EBD">
        <w:rPr>
          <w:color w:val="000000"/>
          <w:shd w:val="clear" w:color="auto" w:fill="FFFFFF"/>
        </w:rPr>
        <w:t xml:space="preserve"> son las</w:t>
      </w:r>
      <w:r w:rsidR="00AB6679">
        <w:rPr>
          <w:color w:val="000000"/>
          <w:shd w:val="clear" w:color="auto" w:fill="FFFFFF"/>
        </w:rPr>
        <w:t xml:space="preserve"> siguientes:</w:t>
      </w:r>
    </w:p>
    <w:p w:rsid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2143"/>
        <w:gridCol w:w="2086"/>
        <w:gridCol w:w="1973"/>
        <w:gridCol w:w="1984"/>
      </w:tblGrid>
      <w:tr w:rsidR="00E13E6B" w:rsidTr="009C7DC4">
        <w:tc>
          <w:tcPr>
            <w:tcW w:w="2143" w:type="dxa"/>
            <w:shd w:val="clear" w:color="auto" w:fill="D9D9D9" w:themeFill="background1" w:themeFillShade="D9"/>
          </w:tcPr>
          <w:p w:rsidR="00E13E6B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</w:p>
          <w:p w:rsidR="00E13E6B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</w:p>
          <w:p w:rsidR="00E13E6B" w:rsidRPr="00E13E6B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E13E6B">
              <w:rPr>
                <w:b/>
              </w:rPr>
              <w:t>Equipo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E13E6B">
              <w:rPr>
                <w:b/>
              </w:rPr>
              <w:t>Multas anteriores  que, hasta que se ingresen, se van incrementando cada lunes por el retraso semanal</w:t>
            </w:r>
          </w:p>
          <w:p w:rsidR="00E13E6B" w:rsidRPr="009C7DC4" w:rsidRDefault="009C7DC4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E13E6B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</w:p>
          <w:p w:rsidR="00E13E6B" w:rsidRDefault="00E13E6B" w:rsidP="00E13E6B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E13E6B">
              <w:rPr>
                <w:b/>
              </w:rPr>
              <w:t>Multas</w:t>
            </w:r>
            <w:r>
              <w:rPr>
                <w:b/>
              </w:rPr>
              <w:t xml:space="preserve"> </w:t>
            </w:r>
          </w:p>
          <w:p w:rsidR="00E13E6B" w:rsidRPr="00E13E6B" w:rsidRDefault="00E13E6B" w:rsidP="00E13E6B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>
              <w:rPr>
                <w:b/>
              </w:rPr>
              <w:t>2</w:t>
            </w:r>
            <w:r w:rsidRPr="00E13E6B">
              <w:rPr>
                <w:b/>
              </w:rPr>
              <w:t>º trimestre 2023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13E6B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</w:p>
          <w:p w:rsidR="00E13E6B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</w:p>
          <w:p w:rsidR="00E13E6B" w:rsidRPr="00E13E6B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E13E6B">
              <w:rPr>
                <w:b/>
              </w:rPr>
              <w:t>Total pendiente</w:t>
            </w:r>
          </w:p>
          <w:p w:rsidR="00E13E6B" w:rsidRPr="00E13E6B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</w:p>
        </w:tc>
      </w:tr>
      <w:tr w:rsidR="00E13E6B" w:rsidTr="00E13E6B">
        <w:tc>
          <w:tcPr>
            <w:tcW w:w="2143" w:type="dxa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9C7DC4">
              <w:rPr>
                <w:b/>
              </w:rPr>
              <w:t>8 40</w:t>
            </w:r>
          </w:p>
        </w:tc>
        <w:tc>
          <w:tcPr>
            <w:tcW w:w="2086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12,00 €</w:t>
            </w:r>
          </w:p>
        </w:tc>
        <w:tc>
          <w:tcPr>
            <w:tcW w:w="1984" w:type="dxa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12,00 €</w:t>
            </w:r>
          </w:p>
        </w:tc>
      </w:tr>
      <w:tr w:rsidR="00E13E6B" w:rsidTr="009C7DC4">
        <w:tc>
          <w:tcPr>
            <w:tcW w:w="2143" w:type="dxa"/>
            <w:shd w:val="clear" w:color="auto" w:fill="F2F2F2" w:themeFill="background1" w:themeFillShade="F2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proofErr w:type="spellStart"/>
            <w:r w:rsidRPr="009C7DC4">
              <w:rPr>
                <w:b/>
              </w:rPr>
              <w:t>Atlantic</w:t>
            </w:r>
            <w:proofErr w:type="spellEnd"/>
            <w:r w:rsidRPr="009C7DC4">
              <w:rPr>
                <w:b/>
              </w:rPr>
              <w:t xml:space="preserve"> Isles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4,50 €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4,50 €</w:t>
            </w:r>
          </w:p>
        </w:tc>
      </w:tr>
      <w:tr w:rsidR="00E13E6B" w:rsidTr="00E13E6B">
        <w:tc>
          <w:tcPr>
            <w:tcW w:w="2143" w:type="dxa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9C7DC4">
              <w:rPr>
                <w:b/>
              </w:rPr>
              <w:t>Cafeteros</w:t>
            </w:r>
          </w:p>
        </w:tc>
        <w:tc>
          <w:tcPr>
            <w:tcW w:w="2086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105,00 €</w:t>
            </w:r>
          </w:p>
        </w:tc>
        <w:tc>
          <w:tcPr>
            <w:tcW w:w="1984" w:type="dxa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105,00 €</w:t>
            </w:r>
          </w:p>
        </w:tc>
      </w:tr>
      <w:tr w:rsidR="00E13E6B" w:rsidTr="009C7DC4">
        <w:tc>
          <w:tcPr>
            <w:tcW w:w="2143" w:type="dxa"/>
            <w:shd w:val="clear" w:color="auto" w:fill="F2F2F2" w:themeFill="background1" w:themeFillShade="F2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proofErr w:type="spellStart"/>
            <w:r w:rsidRPr="009C7DC4">
              <w:rPr>
                <w:b/>
              </w:rPr>
              <w:t>Koky</w:t>
            </w:r>
            <w:proofErr w:type="spellEnd"/>
          </w:p>
        </w:tc>
        <w:tc>
          <w:tcPr>
            <w:tcW w:w="2086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102,00 €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102,00 €</w:t>
            </w:r>
          </w:p>
        </w:tc>
      </w:tr>
      <w:tr w:rsidR="00E13E6B" w:rsidTr="00E13E6B">
        <w:tc>
          <w:tcPr>
            <w:tcW w:w="2143" w:type="dxa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9C7DC4">
              <w:rPr>
                <w:b/>
              </w:rPr>
              <w:t>La Perla del Oeste</w:t>
            </w:r>
          </w:p>
        </w:tc>
        <w:tc>
          <w:tcPr>
            <w:tcW w:w="2086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40,50 €</w:t>
            </w:r>
          </w:p>
        </w:tc>
        <w:tc>
          <w:tcPr>
            <w:tcW w:w="1984" w:type="dxa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40,50 €</w:t>
            </w:r>
          </w:p>
        </w:tc>
      </w:tr>
      <w:tr w:rsidR="00E13E6B" w:rsidTr="009C7DC4">
        <w:tc>
          <w:tcPr>
            <w:tcW w:w="2143" w:type="dxa"/>
            <w:shd w:val="clear" w:color="auto" w:fill="F2F2F2" w:themeFill="background1" w:themeFillShade="F2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9C7DC4">
              <w:rPr>
                <w:b/>
              </w:rPr>
              <w:t>La Sede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6,00 €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6,00 €</w:t>
            </w:r>
          </w:p>
        </w:tc>
      </w:tr>
      <w:tr w:rsidR="00E13E6B" w:rsidTr="00E13E6B">
        <w:tc>
          <w:tcPr>
            <w:tcW w:w="2143" w:type="dxa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proofErr w:type="spellStart"/>
            <w:r w:rsidRPr="009C7DC4">
              <w:rPr>
                <w:b/>
              </w:rPr>
              <w:t>Pindepa</w:t>
            </w:r>
            <w:proofErr w:type="spellEnd"/>
          </w:p>
        </w:tc>
        <w:tc>
          <w:tcPr>
            <w:tcW w:w="2086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57,00 €</w:t>
            </w:r>
          </w:p>
        </w:tc>
        <w:tc>
          <w:tcPr>
            <w:tcW w:w="1984" w:type="dxa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57,00 €</w:t>
            </w:r>
          </w:p>
        </w:tc>
      </w:tr>
      <w:tr w:rsidR="00E13E6B" w:rsidTr="009C7DC4">
        <w:tc>
          <w:tcPr>
            <w:tcW w:w="2143" w:type="dxa"/>
            <w:shd w:val="clear" w:color="auto" w:fill="F2F2F2" w:themeFill="background1" w:themeFillShade="F2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proofErr w:type="spellStart"/>
            <w:r w:rsidRPr="009C7DC4">
              <w:rPr>
                <w:b/>
              </w:rPr>
              <w:t>S.Agustín</w:t>
            </w:r>
            <w:proofErr w:type="spellEnd"/>
          </w:p>
        </w:tc>
        <w:tc>
          <w:tcPr>
            <w:tcW w:w="2086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58,50 €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58,50 €</w:t>
            </w:r>
          </w:p>
        </w:tc>
      </w:tr>
      <w:tr w:rsidR="00E13E6B" w:rsidTr="00E13E6B">
        <w:tc>
          <w:tcPr>
            <w:tcW w:w="2143" w:type="dxa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proofErr w:type="spellStart"/>
            <w:r w:rsidRPr="009C7DC4">
              <w:rPr>
                <w:b/>
              </w:rPr>
              <w:t>Tartanga</w:t>
            </w:r>
            <w:proofErr w:type="spellEnd"/>
          </w:p>
        </w:tc>
        <w:tc>
          <w:tcPr>
            <w:tcW w:w="2086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52,50 €</w:t>
            </w:r>
          </w:p>
        </w:tc>
        <w:tc>
          <w:tcPr>
            <w:tcW w:w="1984" w:type="dxa"/>
          </w:tcPr>
          <w:p w:rsidR="00E13E6B" w:rsidRPr="009C7DC4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52,50 €</w:t>
            </w:r>
          </w:p>
        </w:tc>
      </w:tr>
      <w:tr w:rsidR="00E13E6B" w:rsidTr="009C7DC4">
        <w:tc>
          <w:tcPr>
            <w:tcW w:w="2143" w:type="dxa"/>
            <w:shd w:val="clear" w:color="auto" w:fill="F2F2F2" w:themeFill="background1" w:themeFillShade="F2"/>
          </w:tcPr>
          <w:p w:rsidR="00E13E6B" w:rsidRPr="009C7DC4" w:rsidRDefault="00E13E6B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proofErr w:type="spellStart"/>
            <w:r w:rsidRPr="009C7DC4">
              <w:rPr>
                <w:b/>
              </w:rPr>
              <w:t>Unirea</w:t>
            </w:r>
            <w:proofErr w:type="spellEnd"/>
          </w:p>
        </w:tc>
        <w:tc>
          <w:tcPr>
            <w:tcW w:w="2086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17,79 €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E13E6B" w:rsidRDefault="009C7DC4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13,50 €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13E6B" w:rsidRPr="009C7DC4" w:rsidRDefault="009C7DC4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31,29 €</w:t>
            </w:r>
          </w:p>
        </w:tc>
      </w:tr>
      <w:tr w:rsidR="00E13E6B" w:rsidTr="00E13E6B">
        <w:tc>
          <w:tcPr>
            <w:tcW w:w="2143" w:type="dxa"/>
          </w:tcPr>
          <w:p w:rsidR="00E13E6B" w:rsidRPr="009C7DC4" w:rsidRDefault="009C7DC4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proofErr w:type="spellStart"/>
            <w:r w:rsidRPr="009C7DC4">
              <w:rPr>
                <w:b/>
              </w:rPr>
              <w:t>Yepronor</w:t>
            </w:r>
            <w:proofErr w:type="spellEnd"/>
          </w:p>
        </w:tc>
        <w:tc>
          <w:tcPr>
            <w:tcW w:w="2086" w:type="dxa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</w:tcPr>
          <w:p w:rsidR="00E13E6B" w:rsidRDefault="009C7DC4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7,50 €</w:t>
            </w:r>
          </w:p>
        </w:tc>
        <w:tc>
          <w:tcPr>
            <w:tcW w:w="1984" w:type="dxa"/>
          </w:tcPr>
          <w:p w:rsidR="00E13E6B" w:rsidRPr="009C7DC4" w:rsidRDefault="009C7DC4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7,50 €</w:t>
            </w:r>
          </w:p>
        </w:tc>
      </w:tr>
      <w:tr w:rsidR="00E13E6B" w:rsidTr="009C7DC4">
        <w:tc>
          <w:tcPr>
            <w:tcW w:w="2143" w:type="dxa"/>
            <w:shd w:val="clear" w:color="auto" w:fill="F2F2F2" w:themeFill="background1" w:themeFillShade="F2"/>
          </w:tcPr>
          <w:p w:rsidR="00E13E6B" w:rsidRPr="009C7DC4" w:rsidRDefault="009C7DC4" w:rsidP="00DA0367">
            <w:pPr>
              <w:pStyle w:val="Prrafodelista"/>
              <w:spacing w:before="100" w:after="100"/>
              <w:ind w:left="0"/>
              <w:jc w:val="both"/>
              <w:textAlignment w:val="top"/>
              <w:rPr>
                <w:b/>
              </w:rPr>
            </w:pPr>
            <w:r w:rsidRPr="009C7DC4">
              <w:rPr>
                <w:b/>
              </w:rPr>
              <w:t>Zabala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E13E6B" w:rsidRDefault="00E13E6B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</w:p>
        </w:tc>
        <w:tc>
          <w:tcPr>
            <w:tcW w:w="1973" w:type="dxa"/>
            <w:shd w:val="clear" w:color="auto" w:fill="F2F2F2" w:themeFill="background1" w:themeFillShade="F2"/>
          </w:tcPr>
          <w:p w:rsidR="00E13E6B" w:rsidRDefault="009C7DC4" w:rsidP="00E13E6B">
            <w:pPr>
              <w:pStyle w:val="Prrafodelista"/>
              <w:spacing w:before="100" w:after="100"/>
              <w:ind w:left="0"/>
              <w:jc w:val="center"/>
              <w:textAlignment w:val="top"/>
            </w:pPr>
            <w:r>
              <w:t>63,00 €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13E6B" w:rsidRPr="009C7DC4" w:rsidRDefault="009C7DC4" w:rsidP="00E13E6B">
            <w:pPr>
              <w:pStyle w:val="Prrafodelista"/>
              <w:spacing w:before="100" w:after="100"/>
              <w:ind w:left="0"/>
              <w:jc w:val="center"/>
              <w:textAlignment w:val="top"/>
              <w:rPr>
                <w:b/>
              </w:rPr>
            </w:pPr>
            <w:r w:rsidRPr="009C7DC4">
              <w:rPr>
                <w:b/>
              </w:rPr>
              <w:t>63,00 €</w:t>
            </w:r>
          </w:p>
        </w:tc>
      </w:tr>
    </w:tbl>
    <w:p w:rsidR="00E13E6B" w:rsidRPr="00DA0367" w:rsidRDefault="00E13E6B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603444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proofErr w:type="spellStart"/>
      <w:r w:rsidR="009C7DC4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91765F">
        <w:rPr>
          <w:b/>
        </w:rPr>
        <w:t>xxxx</w:t>
      </w:r>
      <w:proofErr w:type="spellEnd"/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proofErr w:type="spellStart"/>
      <w:r w:rsidR="0091765F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91765F">
        <w:rPr>
          <w:b/>
        </w:rPr>
        <w:t>xxxx</w:t>
      </w:r>
      <w:proofErr w:type="spellEnd"/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DB1E50" w:rsidRDefault="000C7A4C" w:rsidP="0029010C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A6" w:rsidRDefault="00A21DA6">
      <w:r>
        <w:separator/>
      </w:r>
    </w:p>
  </w:endnote>
  <w:endnote w:type="continuationSeparator" w:id="0">
    <w:p w:rsidR="00A21DA6" w:rsidRDefault="00A2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7A" w:rsidRDefault="00C7427A">
    <w:pPr>
      <w:pStyle w:val="Piedepgina"/>
      <w:pBdr>
        <w:bottom w:val="single" w:sz="12" w:space="1" w:color="auto"/>
      </w:pBdr>
    </w:pPr>
  </w:p>
  <w:p w:rsidR="00C7427A" w:rsidRPr="00B62BB2" w:rsidRDefault="00C7427A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27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21-5-23</w:t>
    </w:r>
    <w:r w:rsidRPr="00B62BB2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</w:t>
    </w:r>
    <w:r>
      <w:rPr>
        <w:sz w:val="18"/>
        <w:szCs w:val="18"/>
      </w:rPr>
      <w:t xml:space="preserve">Final Copa 2022/2023                           </w:t>
    </w:r>
    <w:r w:rsidRPr="00B62BB2">
      <w:rPr>
        <w:sz w:val="18"/>
        <w:szCs w:val="18"/>
      </w:rPr>
      <w:t xml:space="preserve">     pág.</w:t>
    </w:r>
    <w:r w:rsidR="0076699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766998" w:rsidRPr="00B62BB2">
      <w:rPr>
        <w:rStyle w:val="Nmerodepgina"/>
        <w:sz w:val="18"/>
        <w:szCs w:val="18"/>
      </w:rPr>
      <w:fldChar w:fldCharType="separate"/>
    </w:r>
    <w:r w:rsidR="008E6170">
      <w:rPr>
        <w:rStyle w:val="Nmerodepgina"/>
        <w:noProof/>
        <w:sz w:val="18"/>
        <w:szCs w:val="18"/>
      </w:rPr>
      <w:t>5</w:t>
    </w:r>
    <w:r w:rsidR="00766998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76699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766998" w:rsidRPr="00B62BB2">
      <w:rPr>
        <w:rStyle w:val="Nmerodepgina"/>
        <w:sz w:val="18"/>
        <w:szCs w:val="18"/>
      </w:rPr>
      <w:fldChar w:fldCharType="separate"/>
    </w:r>
    <w:r w:rsidR="008E6170">
      <w:rPr>
        <w:rStyle w:val="Nmerodepgina"/>
        <w:noProof/>
        <w:sz w:val="18"/>
        <w:szCs w:val="18"/>
      </w:rPr>
      <w:t>6</w:t>
    </w:r>
    <w:r w:rsidR="00766998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A6" w:rsidRDefault="00A21DA6">
      <w:r>
        <w:separator/>
      </w:r>
    </w:p>
  </w:footnote>
  <w:footnote w:type="continuationSeparator" w:id="0">
    <w:p w:rsidR="00A21DA6" w:rsidRDefault="00A21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0D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508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A9B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5C18"/>
    <w:rsid w:val="000764CD"/>
    <w:rsid w:val="00077FA7"/>
    <w:rsid w:val="00081A7B"/>
    <w:rsid w:val="000825C4"/>
    <w:rsid w:val="000826AF"/>
    <w:rsid w:val="00083764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A6C3A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0787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3B07"/>
    <w:rsid w:val="000E7CCC"/>
    <w:rsid w:val="000F160D"/>
    <w:rsid w:val="000F3DB9"/>
    <w:rsid w:val="000F3E5A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721"/>
    <w:rsid w:val="00111A9C"/>
    <w:rsid w:val="00115806"/>
    <w:rsid w:val="00116D17"/>
    <w:rsid w:val="00117074"/>
    <w:rsid w:val="0011783E"/>
    <w:rsid w:val="00122D0D"/>
    <w:rsid w:val="0012621C"/>
    <w:rsid w:val="00126621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3BD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6745"/>
    <w:rsid w:val="001571AB"/>
    <w:rsid w:val="001577A5"/>
    <w:rsid w:val="00157D7A"/>
    <w:rsid w:val="00157E7E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C4"/>
    <w:rsid w:val="001739E9"/>
    <w:rsid w:val="001744B6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541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07F5"/>
    <w:rsid w:val="001B21BC"/>
    <w:rsid w:val="001B2F0B"/>
    <w:rsid w:val="001B4E2A"/>
    <w:rsid w:val="001B6776"/>
    <w:rsid w:val="001B69E1"/>
    <w:rsid w:val="001B7FEC"/>
    <w:rsid w:val="001C199A"/>
    <w:rsid w:val="001C2912"/>
    <w:rsid w:val="001C36F4"/>
    <w:rsid w:val="001C40D0"/>
    <w:rsid w:val="001C46AC"/>
    <w:rsid w:val="001C47C7"/>
    <w:rsid w:val="001C5728"/>
    <w:rsid w:val="001C6473"/>
    <w:rsid w:val="001D1232"/>
    <w:rsid w:val="001D1CED"/>
    <w:rsid w:val="001D355D"/>
    <w:rsid w:val="001D3AEA"/>
    <w:rsid w:val="001D5DF2"/>
    <w:rsid w:val="001D6488"/>
    <w:rsid w:val="001D7EE7"/>
    <w:rsid w:val="001E30B6"/>
    <w:rsid w:val="001E41AB"/>
    <w:rsid w:val="001E6257"/>
    <w:rsid w:val="001E6EEC"/>
    <w:rsid w:val="001E7581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4818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5CE1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1BF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10C"/>
    <w:rsid w:val="00290502"/>
    <w:rsid w:val="002911A8"/>
    <w:rsid w:val="002930FF"/>
    <w:rsid w:val="00293887"/>
    <w:rsid w:val="002939AF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4E0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611F"/>
    <w:rsid w:val="002C7A35"/>
    <w:rsid w:val="002C7F63"/>
    <w:rsid w:val="002C7F82"/>
    <w:rsid w:val="002D02B4"/>
    <w:rsid w:val="002D0B00"/>
    <w:rsid w:val="002D144B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6A14"/>
    <w:rsid w:val="002E7847"/>
    <w:rsid w:val="002F14AE"/>
    <w:rsid w:val="002F5A3A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11D8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AE2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755"/>
    <w:rsid w:val="003E1C55"/>
    <w:rsid w:val="003E21B2"/>
    <w:rsid w:val="003E3B81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1544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04EA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083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1307"/>
    <w:rsid w:val="00481894"/>
    <w:rsid w:val="00481D13"/>
    <w:rsid w:val="00482416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0979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1D8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2BCB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57A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2D67"/>
    <w:rsid w:val="00563821"/>
    <w:rsid w:val="00563FC2"/>
    <w:rsid w:val="00565467"/>
    <w:rsid w:val="00565734"/>
    <w:rsid w:val="00565811"/>
    <w:rsid w:val="00566030"/>
    <w:rsid w:val="00566B07"/>
    <w:rsid w:val="00567B8A"/>
    <w:rsid w:val="00570284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5AB7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0F77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5658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444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A00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577C8"/>
    <w:rsid w:val="00660334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06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48F"/>
    <w:rsid w:val="006E1E78"/>
    <w:rsid w:val="006E25B9"/>
    <w:rsid w:val="006E34D9"/>
    <w:rsid w:val="006E41E6"/>
    <w:rsid w:val="006E4DF9"/>
    <w:rsid w:val="006E5580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1F15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5FE5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1D68"/>
    <w:rsid w:val="007621A6"/>
    <w:rsid w:val="007621D8"/>
    <w:rsid w:val="00762C1D"/>
    <w:rsid w:val="007634D4"/>
    <w:rsid w:val="00764ABD"/>
    <w:rsid w:val="00764E55"/>
    <w:rsid w:val="00765173"/>
    <w:rsid w:val="00765A6B"/>
    <w:rsid w:val="00765E77"/>
    <w:rsid w:val="0076647E"/>
    <w:rsid w:val="0076685E"/>
    <w:rsid w:val="00766998"/>
    <w:rsid w:val="00766C43"/>
    <w:rsid w:val="00766CB3"/>
    <w:rsid w:val="00767A6D"/>
    <w:rsid w:val="00767F4F"/>
    <w:rsid w:val="00772FA0"/>
    <w:rsid w:val="00773563"/>
    <w:rsid w:val="0077495A"/>
    <w:rsid w:val="00774DCA"/>
    <w:rsid w:val="007759A2"/>
    <w:rsid w:val="00775FC7"/>
    <w:rsid w:val="007762F7"/>
    <w:rsid w:val="00777A93"/>
    <w:rsid w:val="0078090E"/>
    <w:rsid w:val="00782495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20E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5715"/>
    <w:rsid w:val="007B67C2"/>
    <w:rsid w:val="007C037B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4ACE"/>
    <w:rsid w:val="007D7B14"/>
    <w:rsid w:val="007E078E"/>
    <w:rsid w:val="007E0DC7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5889"/>
    <w:rsid w:val="00815CF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28CC"/>
    <w:rsid w:val="00833004"/>
    <w:rsid w:val="0083302D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762CD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077"/>
    <w:rsid w:val="008908FD"/>
    <w:rsid w:val="008910F5"/>
    <w:rsid w:val="00891169"/>
    <w:rsid w:val="00891ACA"/>
    <w:rsid w:val="00892624"/>
    <w:rsid w:val="008927CD"/>
    <w:rsid w:val="00892FE0"/>
    <w:rsid w:val="00893F12"/>
    <w:rsid w:val="008966B1"/>
    <w:rsid w:val="0089694B"/>
    <w:rsid w:val="008978C8"/>
    <w:rsid w:val="008978F4"/>
    <w:rsid w:val="00897DD0"/>
    <w:rsid w:val="008A0231"/>
    <w:rsid w:val="008A0232"/>
    <w:rsid w:val="008A088B"/>
    <w:rsid w:val="008A11C4"/>
    <w:rsid w:val="008A1382"/>
    <w:rsid w:val="008A153B"/>
    <w:rsid w:val="008A17C0"/>
    <w:rsid w:val="008A1B82"/>
    <w:rsid w:val="008A2055"/>
    <w:rsid w:val="008A30FB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4FFB"/>
    <w:rsid w:val="008D711D"/>
    <w:rsid w:val="008D7FEF"/>
    <w:rsid w:val="008E0508"/>
    <w:rsid w:val="008E169C"/>
    <w:rsid w:val="008E1917"/>
    <w:rsid w:val="008E21E1"/>
    <w:rsid w:val="008E252E"/>
    <w:rsid w:val="008E3285"/>
    <w:rsid w:val="008E34F0"/>
    <w:rsid w:val="008E35F4"/>
    <w:rsid w:val="008E36F2"/>
    <w:rsid w:val="008E3869"/>
    <w:rsid w:val="008E3E8D"/>
    <w:rsid w:val="008E4773"/>
    <w:rsid w:val="008E6170"/>
    <w:rsid w:val="008E6482"/>
    <w:rsid w:val="008E7C2C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65F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3D84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0A7"/>
    <w:rsid w:val="00986392"/>
    <w:rsid w:val="00987102"/>
    <w:rsid w:val="00987778"/>
    <w:rsid w:val="009911E4"/>
    <w:rsid w:val="00991F58"/>
    <w:rsid w:val="009929C2"/>
    <w:rsid w:val="00992FA1"/>
    <w:rsid w:val="00993CBC"/>
    <w:rsid w:val="00993D43"/>
    <w:rsid w:val="00993D67"/>
    <w:rsid w:val="00995B35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3787"/>
    <w:rsid w:val="009C4F36"/>
    <w:rsid w:val="009C6982"/>
    <w:rsid w:val="009C6B5E"/>
    <w:rsid w:val="009C7361"/>
    <w:rsid w:val="009C7948"/>
    <w:rsid w:val="009C7DC4"/>
    <w:rsid w:val="009C7EBE"/>
    <w:rsid w:val="009D005A"/>
    <w:rsid w:val="009D178A"/>
    <w:rsid w:val="009D1CED"/>
    <w:rsid w:val="009D23E2"/>
    <w:rsid w:val="009D2842"/>
    <w:rsid w:val="009D36AE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6A8A"/>
    <w:rsid w:val="009E7B11"/>
    <w:rsid w:val="009F0310"/>
    <w:rsid w:val="009F50AE"/>
    <w:rsid w:val="009F5568"/>
    <w:rsid w:val="009F61CA"/>
    <w:rsid w:val="009F68CC"/>
    <w:rsid w:val="009F7589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53F"/>
    <w:rsid w:val="00A13B68"/>
    <w:rsid w:val="00A14119"/>
    <w:rsid w:val="00A1471E"/>
    <w:rsid w:val="00A1565A"/>
    <w:rsid w:val="00A15E44"/>
    <w:rsid w:val="00A16A03"/>
    <w:rsid w:val="00A210B0"/>
    <w:rsid w:val="00A21DA6"/>
    <w:rsid w:val="00A21E45"/>
    <w:rsid w:val="00A22553"/>
    <w:rsid w:val="00A2320D"/>
    <w:rsid w:val="00A2376F"/>
    <w:rsid w:val="00A242C8"/>
    <w:rsid w:val="00A24A85"/>
    <w:rsid w:val="00A24C0D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5827"/>
    <w:rsid w:val="00A36865"/>
    <w:rsid w:val="00A36EAF"/>
    <w:rsid w:val="00A40F57"/>
    <w:rsid w:val="00A418CF"/>
    <w:rsid w:val="00A42290"/>
    <w:rsid w:val="00A42863"/>
    <w:rsid w:val="00A42B75"/>
    <w:rsid w:val="00A436F0"/>
    <w:rsid w:val="00A45503"/>
    <w:rsid w:val="00A47F44"/>
    <w:rsid w:val="00A506E7"/>
    <w:rsid w:val="00A50755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2141"/>
    <w:rsid w:val="00A82925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31A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6C4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1FD3"/>
    <w:rsid w:val="00B029F7"/>
    <w:rsid w:val="00B036EF"/>
    <w:rsid w:val="00B03A50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07D76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35190"/>
    <w:rsid w:val="00B40C8A"/>
    <w:rsid w:val="00B41183"/>
    <w:rsid w:val="00B412CE"/>
    <w:rsid w:val="00B4139F"/>
    <w:rsid w:val="00B41A1C"/>
    <w:rsid w:val="00B439C0"/>
    <w:rsid w:val="00B44749"/>
    <w:rsid w:val="00B45F9D"/>
    <w:rsid w:val="00B46A24"/>
    <w:rsid w:val="00B46E87"/>
    <w:rsid w:val="00B47493"/>
    <w:rsid w:val="00B5005D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4E75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0BC1"/>
    <w:rsid w:val="00B92652"/>
    <w:rsid w:val="00B9291C"/>
    <w:rsid w:val="00B93551"/>
    <w:rsid w:val="00B939ED"/>
    <w:rsid w:val="00B94905"/>
    <w:rsid w:val="00B952FA"/>
    <w:rsid w:val="00B95773"/>
    <w:rsid w:val="00B96BCB"/>
    <w:rsid w:val="00B979B7"/>
    <w:rsid w:val="00B97B87"/>
    <w:rsid w:val="00BA1302"/>
    <w:rsid w:val="00BA1D23"/>
    <w:rsid w:val="00BA1F42"/>
    <w:rsid w:val="00BA2E0F"/>
    <w:rsid w:val="00BA30A5"/>
    <w:rsid w:val="00BA35B1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5E1D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2D85"/>
    <w:rsid w:val="00BE3373"/>
    <w:rsid w:val="00BE3492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59C"/>
    <w:rsid w:val="00C26645"/>
    <w:rsid w:val="00C26AC6"/>
    <w:rsid w:val="00C26D9A"/>
    <w:rsid w:val="00C306AC"/>
    <w:rsid w:val="00C30726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3C9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427A"/>
    <w:rsid w:val="00C75360"/>
    <w:rsid w:val="00C768C4"/>
    <w:rsid w:val="00C771C3"/>
    <w:rsid w:val="00C80EEE"/>
    <w:rsid w:val="00C8118C"/>
    <w:rsid w:val="00C81D27"/>
    <w:rsid w:val="00C821FF"/>
    <w:rsid w:val="00C82217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78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6EB3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2FD3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21A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146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074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3C1B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26ED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216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12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633A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3E6B"/>
    <w:rsid w:val="00E149D2"/>
    <w:rsid w:val="00E15CC0"/>
    <w:rsid w:val="00E161CD"/>
    <w:rsid w:val="00E16E07"/>
    <w:rsid w:val="00E22418"/>
    <w:rsid w:val="00E22810"/>
    <w:rsid w:val="00E23287"/>
    <w:rsid w:val="00E248CE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0CD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6782F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34C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8D8"/>
    <w:rsid w:val="00EC4A18"/>
    <w:rsid w:val="00EC561D"/>
    <w:rsid w:val="00EC67A6"/>
    <w:rsid w:val="00EC6AB4"/>
    <w:rsid w:val="00EC78A9"/>
    <w:rsid w:val="00ED0180"/>
    <w:rsid w:val="00ED17AE"/>
    <w:rsid w:val="00ED39E6"/>
    <w:rsid w:val="00ED5F7B"/>
    <w:rsid w:val="00ED7405"/>
    <w:rsid w:val="00ED7838"/>
    <w:rsid w:val="00ED799C"/>
    <w:rsid w:val="00ED7F13"/>
    <w:rsid w:val="00EE0D09"/>
    <w:rsid w:val="00EE1CE9"/>
    <w:rsid w:val="00EE2A1D"/>
    <w:rsid w:val="00EE603D"/>
    <w:rsid w:val="00EE6097"/>
    <w:rsid w:val="00EE654C"/>
    <w:rsid w:val="00EE7009"/>
    <w:rsid w:val="00EF11D5"/>
    <w:rsid w:val="00EF5C0E"/>
    <w:rsid w:val="00EF6044"/>
    <w:rsid w:val="00EF6126"/>
    <w:rsid w:val="00EF6F56"/>
    <w:rsid w:val="00EF76E5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4F4B"/>
    <w:rsid w:val="00F1575E"/>
    <w:rsid w:val="00F15A67"/>
    <w:rsid w:val="00F167FC"/>
    <w:rsid w:val="00F168FD"/>
    <w:rsid w:val="00F17493"/>
    <w:rsid w:val="00F2001F"/>
    <w:rsid w:val="00F20770"/>
    <w:rsid w:val="00F20E2C"/>
    <w:rsid w:val="00F21DB6"/>
    <w:rsid w:val="00F21EBB"/>
    <w:rsid w:val="00F21FEF"/>
    <w:rsid w:val="00F224AF"/>
    <w:rsid w:val="00F2275B"/>
    <w:rsid w:val="00F232A8"/>
    <w:rsid w:val="00F2336F"/>
    <w:rsid w:val="00F245AB"/>
    <w:rsid w:val="00F24706"/>
    <w:rsid w:val="00F24D55"/>
    <w:rsid w:val="00F253AF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01F"/>
    <w:rsid w:val="00F4391A"/>
    <w:rsid w:val="00F450A4"/>
    <w:rsid w:val="00F4689F"/>
    <w:rsid w:val="00F46ADF"/>
    <w:rsid w:val="00F470A7"/>
    <w:rsid w:val="00F4778B"/>
    <w:rsid w:val="00F518B5"/>
    <w:rsid w:val="00F51BC7"/>
    <w:rsid w:val="00F51E41"/>
    <w:rsid w:val="00F54192"/>
    <w:rsid w:val="00F555F2"/>
    <w:rsid w:val="00F55888"/>
    <w:rsid w:val="00F5596B"/>
    <w:rsid w:val="00F55E52"/>
    <w:rsid w:val="00F60AE8"/>
    <w:rsid w:val="00F60E23"/>
    <w:rsid w:val="00F61D93"/>
    <w:rsid w:val="00F62B9A"/>
    <w:rsid w:val="00F63BA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254A"/>
    <w:rsid w:val="00F8335A"/>
    <w:rsid w:val="00F8395D"/>
    <w:rsid w:val="00F855EF"/>
    <w:rsid w:val="00F86C65"/>
    <w:rsid w:val="00F8724B"/>
    <w:rsid w:val="00F87E38"/>
    <w:rsid w:val="00F903BF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382D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3F12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15E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0E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67333-B46D-48D6-94AC-50E3E2FD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1476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12</cp:revision>
  <cp:lastPrinted>2023-05-21T18:21:00Z</cp:lastPrinted>
  <dcterms:created xsi:type="dcterms:W3CDTF">2023-05-21T16:49:00Z</dcterms:created>
  <dcterms:modified xsi:type="dcterms:W3CDTF">2023-05-21T18:21:00Z</dcterms:modified>
</cp:coreProperties>
</file>